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21 166 vom 6. Februar 2023</w:t>
      </w:r>
    </w:p>
    <w:p>
      <w:r>
        <w:t>VS Kantonsgericht, 2023-02-06, FR</w:t>
      </w:r>
    </w:p>
    <w:p>
      <w:r>
        <w:rPr>
          <w:b/>
        </w:rPr>
        <w:t xml:space="preserve">Quelle: </w:t>
      </w:r>
      <w:r>
        <w:t>https://mcp.opencaselaw.ch/entscheid/vs_gerichte_S1 21 166</w:t>
      </w:r>
    </w:p>
    <w:p>
      <w:r>
        <w:t>FR: VS_GERICHTE S1 21 166 du 6 février 2023</w:t>
      </w:r>
    </w:p>
    <w:p>
      <w:r>
        <w:t>IT: VS_GERICHTE S1 21 166 del 6 febbraio 2023</w:t>
      </w:r>
    </w:p>
    <w:p>
      <w:pPr>
        <w:pStyle w:val="Heading2"/>
      </w:pPr>
      <w:r>
        <w:t>Regeste</w:t>
      </w:r>
    </w:p>
    <w:p>
      <w:r>
        <w:t>S1 21 166 JUGEMENT DU 6 FÉVRIER 2023 Tribunal cantonal du Valais Cour des assurances sociales Composition : Candido Prada, président ; Jean-Bernard Fournier et Christophe Joris, juges ; Simon Hausammann, greffier en la cause X _________, recourant, représenté par Maître Didier Elsig, avocat, 1001 Lausanne contre OFFICE CANTONAL AI DU VALAIS, 1950 Sion, intimé (art. 17 LPGA ; nouvelle demande, valeur probante de l’avis du SMR)</w:t>
      </w:r>
    </w:p>
    <w:p>
      <w:pPr>
        <w:pStyle w:val="Heading2"/>
      </w:pPr>
      <w:r>
        <w:t>Erwägungen</w:t>
      </w:r>
    </w:p>
    <w:p>
      <w:r>
        <w:rPr>
          <w:b/>
        </w:rPr>
        <w:t>E. 2</w:t>
      </w:r>
    </w:p>
    <w:p>
      <w:r>
        <w:t>Le litige porte sur le droit du recourant au maintien de sa rente entière d’invalidité, dans le cadre d’une procédure de révision (nouvelle demande). Plus particulièrement, est remise en cause la valeur probante de l’avis du SMR sur lequel l’OAI s’est fondé pour diminuer la rente entière d’invalidité du recourant à une demi-rente.</w:t>
      </w:r>
    </w:p>
    <w:p>
      <w:r>
        <w:rPr>
          <w:b/>
        </w:rPr>
        <w:t>E. 2.1</w:t>
      </w:r>
    </w:p>
    <w:p>
      <w:r>
        <w:t>A teneur de l'article 17 LPGA (dans sa teneur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V368 consid. 2 et la référence). C'est la</w:t>
      </w:r>
    </w:p>
    <w:p>
      <w:r>
        <w:t>- 9 - dernière décision entrée en force qui repose sur un examen matériel complet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387consid. 1b).</w:t>
      </w:r>
    </w:p>
    <w:p>
      <w:r>
        <w:rPr>
          <w:b/>
        </w:rPr>
        <w:t>E. 2.2</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environ (ATF 139 V 399 consid. 5.3 ; 130 V 488 consid. 4.2 et 124 V 108 consid. 2b).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 114 V 310 consid. 3c et 105 V 156 consid. 1 ; arrêt 8C_761/2014 du 15 octobre 2015 consid. 3.4).</w:t>
      </w:r>
    </w:p>
    <w:p>
      <w:r>
        <w:t>- 10 -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w:t>
      </w:r>
    </w:p>
    <w:p>
      <w:r>
        <w:t>- 11 -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9C_748/2013 cité consid. 4.1.1,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U 571/06 du 29 mai 2007 consid. 4.2 et les références). Au sujet des rapports établis par les médecins traitants, il est constant d’après la jurisprudence que ceux-ci sont généralement enclins,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9C_24/2008 du 27 mai 2008 consid. 2.3.2, Plädoyer 2009 p. 72 ss).</w:t>
      </w:r>
    </w:p>
    <w:p>
      <w:r>
        <w:t>- 12 - 3. Dans le cas d’espèce, il s’agit de comparer la situation du recourant telle qu’elle se présentait au moment de la dernière décision du 15 novembre 2013 reposant sur un examen complet du droit à des prestations et les circonstances régnant à l’époque de la décision litigieuse du 1er juin 2021. 3.1. En novembre 2013, le recourant a été mis au bénéfice d’une demi-rente d’invalidité en raison de lombo-sciatalgies bilatérales (discarthrose L4-L5 et L5-S1 ; M47.82), de dorsalgies chroniques et d’une discrète para-spasticité sur probable myélopathie dorsale (M62.8). Selon le Dr D _________, l’atteinte neurologique justifiait une capacité de travail résiduelle de 50% (cf. examen clinique du 29 avril 2013 ; pièce OAI 98). En outre, le dossier permet de constater que les plaintes du recourant relatives à des douleurs dans la nuque et les épaules remontent à 2006. En particulier, une discopathie C6-C7, mise en évidence en octobre 2006, avait pu être traitée par de la chiropractie et une réflexothérapie (cf. pièce OAI 34, p. 94). Par la suite, n’arrivant pas à expliquer les douleurs et en l’absence de signes clairs en faveur d’une atteinte, les médecins du recourant avaient conclu à des dysfonctions scapulo-humérales bilatérales et cervico- dorsales (cf. pièces OAI 30 et 34). Lorsque la nouvelle demande a été déposée en avril 2019, l’intéressé venait de subir une intervention chirurgicale pour traiter une hernie cervicale C6-C7 médiane paramédiane droite en conflit avec la racine C7 (cf. pièce OAI 151), compliquée par le développement d’une atteinte radiculaire C8 droite (cf. pièce OAI 153). Après avoir examiné le recourant, le SMR a constaté un statu quo des dorso-lombalgies chroniques et de la para-spasticité. Il n’a en revanche pas retenu une neuropathie à l’épaule droite et a estimé qu’il convenait encore d’attendre le consilium neurologique requis à la Dresse H _________ du Service de neurologie de l’Hôpital de Sion (cf. examen clinique du 8 mai 2020). Le 13 juillet 2020, le médecin chef de ce service n’a retenu aucune atteinte neurologique et estimé que la surcharge fonctionnelle importante du recourant pouvait être soulagée par un entrainement quotidien de renforcement du membre supérieur et un travail de la posture (cf. pièce OAI 196). Sur cette base, le SMR a conclu que l’aggravation de l’état de santé du recourant, sous la forme d’une hernie discale C6-C7, avait justifié une totale incapacité de travail depuis octobre 2018. Dès le mois de mai 2020, les cervicalgies se sont néanmoins résorbées et ont permis la reprise d’une activité adaptée à 50% (cf. rapport final du 24 septembre 2020 ; pièce OAI 207). Reprenant cela, l’OAI lui a octroyé une rente entière d’invalidité du 1er avril 2019 au 31 juillet 2020, puis une demi-rente d’invalidité à partir du 1er août 2020.</w:t>
      </w:r>
    </w:p>
    <w:p>
      <w:r>
        <w:t>- 13 - 3.2. Le recourant remet en cause la valeur probante des rapports du SMR, en soutenant notamment qu’ils auraient injustement écarté l’avis de ses médecins traitants et qu’il ne serait pas en capacité d’exercer une activité professionnelle à mi-temps. Les appréciations du SMR ne contiennent cependant pas de contradictions manifestes et il n’apparaît pas que des éléments essentiels auraient été ignorés. Certes, il manquait dans un premier temps un rapport neurologique afin que le SMR puisse rendre son avis définitif. Cela étant, contrairement à ce que soutient le recourant, le complément d’instruction demandé par le Dr D _________ a effectivement été effectué. Le consilium neurologique a ainsi été rendu en date du 13 juillet 2020 par le Prof. I _________, respectivement la Dresse H _________, en lien avec l’ENMG du 9 mars 2020 (cf. pièce OAI 196). A cet égard, les critiques du recourant quant à la valeur probante de ce document ne sont aucunement fondées, dans la mesure où cette pièce contient une anamnèse complète, tient compte de ses plaintes et fait l’objet d’une appréciation motivée au terme d’un examen clinique complet. Force est en outre de constater que l’intéressé n’émet aucune critique ciblée à l’encontre de cet avis ni ne produit une quelconque appréciation neurologique divergente qui viendrait la remettre en doute. Le simple fait de mettre en cause la dénomination de « consilium » dudit document n’est à l’évidence pas suffisant, ce d’autant plus que, par cette critique peu compréhensible, le recourant semble méconnaître la définition de ce terme, à savoir tenir un conseil spécialisé (Dictionnaire latin-français de Félix Gaffiot, 1934). Or, le rapport du 13 juillet 2020 constitue incontestablement un avis spécialisé sur la composante neurologique des atteintes du recourant. Dans cette mesure, l’on ne saurait faire grief au SMR, dans son rapport final du 24 septembre 2020, de n’avoir pas tenu compte de l’ensemble des avis médicaux du dossier. Au niveau des dorso-lombalgies, les conclusions du Dr D _________ sont pleinement probantes et ne sont du reste pas remises en cause par l’intéressé. Concernant les cervicalgies, l’intimé a admis leur caractère totalement invalidant jusqu’au 1er mai 2020. Pour le recourant, ses douleurs aux cervicales l’empêcheraient de travailler également au-delà de cette date. Cette assertion n’est cependant appuyée par aucun élément objectif du dossier. L’on note en effet qu’aucune justification neurologique n’a pu être apportée par les derniers examens électrophysiologiques du 9 mars 2020 (neurographies sensitive et motrice, ENMG, myographies). Ceux-ci ont au contraire obtenu des réponses normales, rassurantes et en amélioration depuis l’ENMG du 24 juin 2019, mettant ainsi en évidence une nette dissociation entre les plaintes alléguées du recourant et son status clinique (cf. rapport du 13 juillet 2020 ; pièce OAI 196). Il est en</w:t>
      </w:r>
    </w:p>
    <w:p>
      <w:r>
        <w:t>- 14 - outre ressorti de cet examen que les douleurs étaient liées à une surcharge fonctionnelle importante pouvant être traitée par un entraînement quotidien avec renforcement du membre supérieur et un travail de la posture. L’efficacité d’un tel entraînement sur les douleurs s’était d’ailleurs vérifiée lors de son séjour à la Clinique de Montana (cf. rapport du 8 août 2019 ; pièce OAI 161). Ayant été informé de l’importance de maintenir un entraînement quotidien par les Drs H _________ et I _________, il revenait par conséquent au recourant de le mettre en œuvre, étant rappelé qu’un déconditionnement musculaire liée à une période d’inactivité ne suffit pas en tant que tel pour admettre une diminution de la capacité de travail dans toute activité (arrêts I 524/04 du 28 juin 2005 consid. 5 et I 597/03 du 22 mars 2004 consid. 4.1, repris à l’arrêt 9C_809/2017 du 27 mars 2018 consid. 5.2). Le Dr E _________ n’a pas plus été en mesure d’expliquer les douleurs de son patient en relevant un discours « stéréotypé, marqué toujours par les mêmes plaintes » auprès de celui-ci. De surcroît, il n’a pas attesté d’incapacité de travail dans l’activité habituelle de son patient, en précisant qu’elle était adaptée (cf. rapport du 25 septembre 2019 ; pièce OAI 166). Dans ces circonstances, il est difficile de retenir une pleine incapacité de travail au recourant. L’avis de ses médecins traitants n’y change rien. En particulier, le Dr K _________ n’énonce pas de nouvelle atteinte qui n’aurait pas été prise en compte par ses confrères et mentionne des limitations fonctionnelles déjà retenues par le SMR (périmètre de marche limité, alternance des positions). S’agissant de l’atteinte radiculaire, il a également constaté qu’elle ne trouve pas de justification objective et n’indique du reste pas qu’elle rendrait toute activité adaptée impossible. L’on note encore que, n’ayant plus rien à proposer à l’intéressé, le Dr K _________ a déconseillé une intervention chirurgicale et a recommandé la poursuite du traitement conservateur (cf. rapports des 1er décembre 2020 et 27 mai 2021 ; pièce OAI 220). Quant au Dr L _________, généraliste, son avis est laconique et n’explique pas l’incapacité totale de travail qu’il retient. Concernant les troubles psychiques (trouble anxieux et dépressif mixte, trouble somatoforme douloureux) – dont ce n’est pas la spécialité – qu’il évoque simplement sans aucun développement, il n’a manifestement pas jugé utile d’adresser son patient à un spécialiste en psychiatrie pour les prendre en charge (cf. rapport du 30 décembre 2020 ; pièce OAI 263, p. 635). Sur ce point, force est de constater qu’aucune autre pièce du dossier ne permet de confirmer la présence d’une telle atteinte psychique et le recourant n’a, au demeurant, produit aucune pièce y relative dans le cadre de la procédure de contestation et du recours. Les troubles dégénératifs du rachis cervical mis en évidence par l’IRM médullaire du 28 mai 2020 ne sauraient, par ailleurs,</w:t>
      </w:r>
    </w:p>
    <w:p>
      <w:r>
        <w:t>- 15 - justifier une incapacité totale de travail dans toute activité, le Dr J _________ la qualifiant de rassurante (cf. pièces OAI 191, p. 428, et 207). 3.3. Vu ce qui précède, il n’existe aucun motif médical susceptible de remettre en doute la valeur probante de l’avis du SMR. Le dossier établi par l’intimé est en outre suffisamment complet pour qu’un jugement valable puisse être rendu sur la base de celui-ci sans qu’une mesure d’instruction complémentaire ne doive être ordonnée (appréciation anticipée des moyens de preuves : ATF 145 I 167 consid. 4.1, 144 II 427 consid. 3.1.3 et 141 I 60 consid. 3.3). Dans la mesure où une capacité de travail de 50% a été récupérée par l’intéressé dans toute activité adaptée depuis le 1er mai 2020 (date de l’examen du Dr E _________), c’est à juste titre que sa rente entière d’invalidité a été diminuée à une demi-rente sur la base d’un taux d’incapacité de gain de 50%, dès le 1er août 2020 (art. 88bis al. 2 let. a RAI). En date du 1er mai 2020, le Dr E _________ a en effet indiqué que son patient ne se plaignait plus de douleurs au niveau cervical (cf. rapport du 8 juin 2020 ; pièce OAI 192, p. 430). En outre, l’ENMG du 9 mars 2020 avait fait état de résultats dans les normes qui étaient rassurants et en amélioration depuis les derniers examens (cf. rapport du 13 juillet 2020 ; pièce OAI 196). Dans ces circonstances, l’intimé était fondé à retenir la date du 1er mai 2020 pour admettre une récupération de l’intéressé d’une capacité de travail de 50%. Le recours du 29 juin 2021 est par conséquent rejeté et la décision du 1er juin précédent confirmée. 4.1. La procédure de recours en matière de contestation portant sur l'octroi ou le refus de prestations de l'assurance-invalidité devant le tribunal cantonal des assurances est soumise à des frais judiciaires, dont le montant, fixé en fonction de la charge liée à la procédure, oscille entre 200 et 1000 francs (art. 61 let. fbis LPGA ; art. 69 al. 1bis LAI). Eu égard à l’issue de la cause, les frais de justice, par 500 francs, au regard des principes de la couverture des coûts et de l’équivalence, sont mis à la charge du recourant qui succombe (art. 69 al. 1bis LAI). 4.2. Vu l’issue de la cause, le recourant ne peut pas prétendre à des dépens (art. 61 let. g LPGA et 91 al. 1 LPJA a contrario), ni d’ailleurs l’intimé (art. 91 al. 3 LPJA).</w:t>
      </w:r>
    </w:p>
    <w:p>
      <w:r>
        <w:t>- 16 - Prononce</w:t>
      </w:r>
    </w:p>
    <w:p>
      <w:r>
        <w:t>1. Le recours est rejeté. 2. Il n’est pas alloué de dépens. 3. Les frais, par 500 francs, sont mis à la charge de X _________.</w:t>
      </w:r>
    </w:p>
    <w:p>
      <w:r>
        <w:t>Sion, le 6 février 2023.</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sur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